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44A47" w14:textId="2DC6FA3C" w:rsidR="00341AC1" w:rsidRPr="004919E1" w:rsidRDefault="00341AC1" w:rsidP="00341AC1">
      <w:pPr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C018627" wp14:editId="6E27750B">
            <wp:simplePos x="0" y="0"/>
            <wp:positionH relativeFrom="column">
              <wp:posOffset>2774950</wp:posOffset>
            </wp:positionH>
            <wp:positionV relativeFrom="paragraph">
              <wp:posOffset>-603250</wp:posOffset>
            </wp:positionV>
            <wp:extent cx="1114425" cy="942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263E7" w14:textId="77777777" w:rsidR="00341AC1" w:rsidRDefault="00341AC1" w:rsidP="00341AC1">
      <w:pPr>
        <w:spacing w:line="260" w:lineRule="exact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315F7427" w14:textId="77777777" w:rsidR="00341AC1" w:rsidRDefault="00341AC1" w:rsidP="00341AC1">
      <w:pPr>
        <w:spacing w:line="260" w:lineRule="exact"/>
        <w:jc w:val="center"/>
        <w:rPr>
          <w:rFonts w:ascii="Arial" w:hAnsi="Arial" w:cs="Arial"/>
          <w:b/>
          <w:bCs/>
          <w:color w:val="000000"/>
        </w:rPr>
      </w:pPr>
      <w:r w:rsidRPr="006238A6">
        <w:rPr>
          <w:rFonts w:ascii="Arial" w:hAnsi="Arial" w:cs="Arial"/>
          <w:b/>
          <w:bCs/>
          <w:color w:val="000000"/>
        </w:rPr>
        <w:t>State of Georgia</w:t>
      </w:r>
    </w:p>
    <w:p w14:paraId="35F7D0D6" w14:textId="77777777" w:rsidR="00341AC1" w:rsidRPr="009D6629" w:rsidRDefault="00341AC1" w:rsidP="00341AC1">
      <w:pPr>
        <w:spacing w:line="260" w:lineRule="exac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6629">
        <w:rPr>
          <w:rFonts w:ascii="Arial" w:hAnsi="Arial" w:cs="Arial"/>
          <w:b/>
          <w:bCs/>
          <w:color w:val="000000"/>
          <w:sz w:val="16"/>
          <w:szCs w:val="16"/>
        </w:rPr>
        <w:t>In conjunction with</w:t>
      </w:r>
    </w:p>
    <w:p w14:paraId="7F138552" w14:textId="77777777" w:rsidR="00341AC1" w:rsidRDefault="00341AC1" w:rsidP="00341AC1">
      <w:pPr>
        <w:spacing w:line="260" w:lineRule="exact"/>
        <w:jc w:val="center"/>
        <w:rPr>
          <w:rFonts w:ascii="Arial" w:hAnsi="Arial" w:cs="Arial"/>
          <w:b/>
          <w:bCs/>
        </w:rPr>
      </w:pPr>
      <w:r w:rsidRPr="009D6629">
        <w:rPr>
          <w:rFonts w:ascii="Arial" w:hAnsi="Arial" w:cs="Arial"/>
          <w:b/>
          <w:bCs/>
        </w:rPr>
        <w:t xml:space="preserve">NASPO </w:t>
      </w:r>
      <w:proofErr w:type="spellStart"/>
      <w:r w:rsidRPr="009D6629">
        <w:rPr>
          <w:rFonts w:ascii="Arial" w:hAnsi="Arial" w:cs="Arial"/>
          <w:b/>
          <w:bCs/>
        </w:rPr>
        <w:t>ValuePoint</w:t>
      </w:r>
      <w:proofErr w:type="spellEnd"/>
    </w:p>
    <w:p w14:paraId="2AEE83FD" w14:textId="77777777" w:rsidR="00341AC1" w:rsidRPr="00AE4364" w:rsidRDefault="00341AC1" w:rsidP="00341AC1">
      <w:pPr>
        <w:spacing w:line="260" w:lineRule="exact"/>
        <w:jc w:val="center"/>
        <w:rPr>
          <w:rFonts w:ascii="Arial" w:hAnsi="Arial" w:cs="Arial"/>
          <w:b/>
          <w:bCs/>
        </w:rPr>
      </w:pPr>
    </w:p>
    <w:p w14:paraId="1B4A5BA7" w14:textId="05BC9FEC" w:rsidR="00341AC1" w:rsidRPr="004919E1" w:rsidRDefault="008463C2" w:rsidP="00341AC1">
      <w:pPr>
        <w:spacing w:line="260" w:lineRule="exact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Submission Checklist</w:t>
      </w:r>
    </w:p>
    <w:p w14:paraId="0EAAC7E0" w14:textId="77777777" w:rsidR="00341AC1" w:rsidRPr="004919E1" w:rsidRDefault="00341AC1" w:rsidP="00341AC1">
      <w:pPr>
        <w:spacing w:line="260" w:lineRule="exact"/>
        <w:jc w:val="center"/>
        <w:rPr>
          <w:rFonts w:ascii="Arial" w:hAnsi="Arial" w:cs="Arial"/>
          <w:b/>
          <w:bCs/>
          <w:sz w:val="20"/>
        </w:rPr>
      </w:pPr>
      <w:r w:rsidRPr="004919E1">
        <w:rPr>
          <w:rFonts w:ascii="Arial" w:hAnsi="Arial" w:cs="Arial"/>
          <w:b/>
          <w:bCs/>
          <w:sz w:val="20"/>
        </w:rPr>
        <w:t>Event Name:  </w:t>
      </w:r>
      <w:r>
        <w:rPr>
          <w:rFonts w:ascii="Arial" w:hAnsi="Arial" w:cs="Arial"/>
          <w:b/>
          <w:sz w:val="20"/>
        </w:rPr>
        <w:t>Third Party Liability Services</w:t>
      </w:r>
    </w:p>
    <w:p w14:paraId="48C28450" w14:textId="10504E39" w:rsidR="00341AC1" w:rsidRDefault="00341AC1" w:rsidP="00341AC1">
      <w:pPr>
        <w:spacing w:line="260" w:lineRule="exact"/>
        <w:jc w:val="center"/>
        <w:rPr>
          <w:rFonts w:ascii="Arial" w:hAnsi="Arial" w:cs="Arial"/>
          <w:b/>
          <w:bCs/>
          <w:color w:val="FF0000"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eRFP</w:t>
      </w:r>
      <w:proofErr w:type="spellEnd"/>
      <w:r>
        <w:rPr>
          <w:rFonts w:ascii="Arial" w:hAnsi="Arial" w:cs="Arial"/>
          <w:b/>
          <w:bCs/>
          <w:sz w:val="20"/>
        </w:rPr>
        <w:t xml:space="preserve"> (Event) Number: </w:t>
      </w:r>
      <w:r w:rsidR="00A14CB6" w:rsidRPr="00A14CB6">
        <w:rPr>
          <w:rFonts w:ascii="Arial" w:hAnsi="Arial" w:cs="Arial"/>
          <w:sz w:val="20"/>
          <w:szCs w:val="20"/>
        </w:rPr>
        <w:t>41900-DCH0000120</w:t>
      </w:r>
    </w:p>
    <w:p w14:paraId="66E61F1C" w14:textId="74240C59" w:rsidR="00341AC1" w:rsidRDefault="00341AC1" w:rsidP="00341AC1"/>
    <w:p w14:paraId="5C4DA6CF" w14:textId="761DD3D6" w:rsidR="008463C2" w:rsidRDefault="006C5773" w:rsidP="00574EBA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 w:rsidR="008463C2">
        <w:rPr>
          <w:rFonts w:ascii="Arial" w:hAnsi="Arial" w:cs="Arial"/>
          <w:sz w:val="20"/>
          <w:szCs w:val="20"/>
        </w:rPr>
        <w:t xml:space="preserve"> your submission to be considered complete, each document below must be submitted via the electronic portal (located </w:t>
      </w:r>
      <w:hyperlink r:id="rId6" w:history="1">
        <w:r w:rsidR="008463C2" w:rsidRPr="006C5773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8463C2">
        <w:rPr>
          <w:rFonts w:ascii="Arial" w:hAnsi="Arial" w:cs="Arial"/>
          <w:sz w:val="20"/>
          <w:szCs w:val="20"/>
        </w:rPr>
        <w:t>) by December 1, 2020 at 5:00pm ET. Submit each document as soon as it is completed. If any of the documents below are missing</w:t>
      </w:r>
      <w:r>
        <w:rPr>
          <w:rFonts w:ascii="Arial" w:hAnsi="Arial" w:cs="Arial"/>
          <w:sz w:val="20"/>
          <w:szCs w:val="20"/>
        </w:rPr>
        <w:t>,</w:t>
      </w:r>
      <w:r w:rsidR="008463C2">
        <w:rPr>
          <w:rFonts w:ascii="Arial" w:hAnsi="Arial" w:cs="Arial"/>
          <w:sz w:val="20"/>
          <w:szCs w:val="20"/>
        </w:rPr>
        <w:t xml:space="preserve"> your submission will be incomplete and </w:t>
      </w:r>
      <w:r w:rsidR="00804D7F">
        <w:rPr>
          <w:rFonts w:ascii="Arial" w:hAnsi="Arial" w:cs="Arial"/>
          <w:sz w:val="20"/>
          <w:szCs w:val="20"/>
        </w:rPr>
        <w:t>may be disqualified</w:t>
      </w:r>
      <w:r w:rsidR="008463C2">
        <w:rPr>
          <w:rFonts w:ascii="Arial" w:hAnsi="Arial" w:cs="Arial"/>
          <w:sz w:val="20"/>
          <w:szCs w:val="20"/>
        </w:rPr>
        <w:t>.</w:t>
      </w:r>
      <w:r w:rsidR="00804D7F">
        <w:rPr>
          <w:rFonts w:ascii="Arial" w:hAnsi="Arial" w:cs="Arial"/>
          <w:sz w:val="20"/>
          <w:szCs w:val="20"/>
        </w:rPr>
        <w:t xml:space="preserve"> Additionally, all documents should be submitted in the same file format</w:t>
      </w:r>
      <w:r w:rsidR="0025356A">
        <w:rPr>
          <w:rFonts w:ascii="Arial" w:hAnsi="Arial" w:cs="Arial"/>
          <w:sz w:val="20"/>
          <w:szCs w:val="20"/>
        </w:rPr>
        <w:t xml:space="preserve"> in which</w:t>
      </w:r>
      <w:r w:rsidR="00804D7F">
        <w:rPr>
          <w:rFonts w:ascii="Arial" w:hAnsi="Arial" w:cs="Arial"/>
          <w:sz w:val="20"/>
          <w:szCs w:val="20"/>
        </w:rPr>
        <w:t xml:space="preserve"> they were provided and the file name should not exceed 54 characters.</w:t>
      </w:r>
      <w:r w:rsidR="0025356A">
        <w:rPr>
          <w:rFonts w:ascii="Arial" w:hAnsi="Arial" w:cs="Arial"/>
          <w:sz w:val="20"/>
          <w:szCs w:val="20"/>
        </w:rPr>
        <w:t xml:space="preserve"> Suppliers may upload a separate redacted copy of a file with their Trade Secrets Affidavit (RFP section 2.1.12 Public Access to Procurement Records).</w:t>
      </w:r>
    </w:p>
    <w:p w14:paraId="27779DF3" w14:textId="32F32C39" w:rsidR="008463C2" w:rsidRDefault="008463C2" w:rsidP="00574EBA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5F46258" w14:textId="09D5B5D2" w:rsidR="008463C2" w:rsidRDefault="008463C2" w:rsidP="00574EBA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Documents</w:t>
      </w:r>
      <w:r w:rsidR="00F05AD2">
        <w:rPr>
          <w:rFonts w:ascii="Arial" w:hAnsi="Arial" w:cs="Arial"/>
          <w:sz w:val="20"/>
          <w:szCs w:val="20"/>
        </w:rPr>
        <w:t xml:space="preserve"> ALL suppliers must</w:t>
      </w:r>
      <w:r>
        <w:rPr>
          <w:rFonts w:ascii="Arial" w:hAnsi="Arial" w:cs="Arial"/>
          <w:sz w:val="20"/>
          <w:szCs w:val="20"/>
        </w:rPr>
        <w:t xml:space="preserve"> submit:</w:t>
      </w:r>
    </w:p>
    <w:p w14:paraId="66ACE1E6" w14:textId="00F08C2C" w:rsidR="00F05AD2" w:rsidRDefault="00F05AD2" w:rsidP="00574EBA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Suppliers only need to submit these forms ONCE even if they are submitting bids for multiple services</w:t>
      </w:r>
    </w:p>
    <w:p w14:paraId="07585A42" w14:textId="79359706" w:rsidR="00F05AD2" w:rsidRDefault="00F05AD2" w:rsidP="00F05AD2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D </w:t>
      </w:r>
      <w:r w:rsidRPr="00773F68">
        <w:rPr>
          <w:rFonts w:ascii="Arial" w:hAnsi="Arial" w:cs="Arial"/>
          <w:sz w:val="20"/>
          <w:szCs w:val="20"/>
        </w:rPr>
        <w:t>Mandatory Response Worksheet</w:t>
      </w:r>
    </w:p>
    <w:p w14:paraId="638B42EF" w14:textId="473FDEF1" w:rsidR="00F05AD2" w:rsidRPr="00773F68" w:rsidRDefault="00F05AD2" w:rsidP="00F05AD2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E </w:t>
      </w:r>
      <w:r w:rsidRPr="00773F68">
        <w:rPr>
          <w:rFonts w:ascii="Arial" w:hAnsi="Arial" w:cs="Arial"/>
          <w:sz w:val="20"/>
          <w:szCs w:val="20"/>
        </w:rPr>
        <w:t>Statement of Certification and Assurances</w:t>
      </w:r>
    </w:p>
    <w:p w14:paraId="7775811D" w14:textId="00B076B9" w:rsidR="00F05AD2" w:rsidRPr="009054F9" w:rsidRDefault="00F05AD2" w:rsidP="009054F9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G </w:t>
      </w:r>
      <w:r w:rsidRPr="00773F68">
        <w:rPr>
          <w:rFonts w:ascii="Arial" w:hAnsi="Arial" w:cs="Arial"/>
          <w:sz w:val="20"/>
          <w:szCs w:val="20"/>
        </w:rPr>
        <w:t>TPL Base Requirements Mandatory Scored Response Worksheet</w:t>
      </w:r>
    </w:p>
    <w:p w14:paraId="479205FE" w14:textId="2CC2857E" w:rsidR="00F05AD2" w:rsidRPr="00773F68" w:rsidRDefault="00F05AD2" w:rsidP="00F05AD2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Y </w:t>
      </w:r>
      <w:r w:rsidRPr="00773F68">
        <w:rPr>
          <w:rFonts w:ascii="Arial" w:hAnsi="Arial" w:cs="Arial"/>
          <w:sz w:val="20"/>
          <w:szCs w:val="20"/>
        </w:rPr>
        <w:t>Scopes of Services Submission Checklist</w:t>
      </w:r>
    </w:p>
    <w:p w14:paraId="47FCBFAF" w14:textId="15FC282E" w:rsidR="00F05AD2" w:rsidRPr="00773F68" w:rsidRDefault="00F05AD2" w:rsidP="00F05AD2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Z </w:t>
      </w:r>
      <w:r w:rsidRPr="00773F68">
        <w:rPr>
          <w:rFonts w:ascii="Arial" w:hAnsi="Arial" w:cs="Arial"/>
          <w:sz w:val="20"/>
          <w:szCs w:val="20"/>
        </w:rPr>
        <w:t>Certificate of Non-Collusion</w:t>
      </w:r>
    </w:p>
    <w:p w14:paraId="46527151" w14:textId="192CC4C7" w:rsidR="00F05AD2" w:rsidRDefault="00F05AD2" w:rsidP="00F05AD2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AA </w:t>
      </w:r>
      <w:r w:rsidRPr="00773F68">
        <w:rPr>
          <w:rFonts w:ascii="Arial" w:hAnsi="Arial" w:cs="Arial"/>
          <w:sz w:val="20"/>
          <w:szCs w:val="20"/>
        </w:rPr>
        <w:t xml:space="preserve">Tax Compliance Form </w:t>
      </w:r>
    </w:p>
    <w:p w14:paraId="6585CFA5" w14:textId="5F8608DA" w:rsidR="0025356A" w:rsidRPr="0025356A" w:rsidRDefault="0025356A" w:rsidP="0025356A">
      <w:pPr>
        <w:pStyle w:val="ListParagraph"/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BB </w:t>
      </w:r>
      <w:r w:rsidRPr="006C1FCB">
        <w:rPr>
          <w:rFonts w:ascii="Arial" w:hAnsi="Arial" w:cs="Arial"/>
          <w:sz w:val="20"/>
          <w:szCs w:val="20"/>
        </w:rPr>
        <w:t>Master Agreement Contract</w:t>
      </w:r>
      <w:r>
        <w:rPr>
          <w:rFonts w:ascii="Arial" w:hAnsi="Arial" w:cs="Arial"/>
          <w:sz w:val="20"/>
          <w:szCs w:val="20"/>
        </w:rPr>
        <w:t xml:space="preserve"> (include redline exceptions)</w:t>
      </w:r>
    </w:p>
    <w:p w14:paraId="0E61A78A" w14:textId="5838C30F" w:rsidR="00F05AD2" w:rsidRPr="00773F68" w:rsidRDefault="00F05AD2" w:rsidP="00F05AD2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CC </w:t>
      </w:r>
      <w:r w:rsidRPr="00773F68">
        <w:rPr>
          <w:rFonts w:ascii="Arial" w:hAnsi="Arial" w:cs="Arial"/>
          <w:sz w:val="20"/>
          <w:szCs w:val="20"/>
        </w:rPr>
        <w:t>Contracts Exception</w:t>
      </w:r>
      <w:r w:rsidR="0025356A">
        <w:rPr>
          <w:rFonts w:ascii="Arial" w:hAnsi="Arial" w:cs="Arial"/>
          <w:sz w:val="20"/>
          <w:szCs w:val="20"/>
        </w:rPr>
        <w:t xml:space="preserve"> (optional)</w:t>
      </w:r>
    </w:p>
    <w:p w14:paraId="53650DE2" w14:textId="66ACB8E3" w:rsidR="00F05AD2" w:rsidRDefault="00F05AD2" w:rsidP="00F05AD2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DD </w:t>
      </w:r>
      <w:r w:rsidRPr="00DE2949">
        <w:rPr>
          <w:rFonts w:ascii="Arial" w:hAnsi="Arial" w:cs="Arial"/>
          <w:sz w:val="20"/>
          <w:szCs w:val="20"/>
        </w:rPr>
        <w:t>Reference F</w:t>
      </w:r>
      <w:r w:rsidRPr="00203A00">
        <w:rPr>
          <w:rFonts w:ascii="Arial" w:hAnsi="Arial" w:cs="Arial"/>
          <w:sz w:val="20"/>
          <w:szCs w:val="20"/>
        </w:rPr>
        <w:t>orm</w:t>
      </w:r>
    </w:p>
    <w:p w14:paraId="66D26C25" w14:textId="307FA56B" w:rsidR="00F05AD2" w:rsidRDefault="00F05AD2" w:rsidP="00F05AD2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EE </w:t>
      </w:r>
      <w:r w:rsidRPr="00574EBA">
        <w:rPr>
          <w:rFonts w:ascii="Arial" w:hAnsi="Arial" w:cs="Arial"/>
          <w:sz w:val="20"/>
          <w:szCs w:val="20"/>
        </w:rPr>
        <w:t>Immigration and Security Form</w:t>
      </w:r>
    </w:p>
    <w:p w14:paraId="72F5E4D9" w14:textId="273E2CC8" w:rsidR="00F05AD2" w:rsidRDefault="00F05AD2" w:rsidP="008463C2">
      <w:pPr>
        <w:pStyle w:val="ListParagraph"/>
        <w:keepNext/>
        <w:numPr>
          <w:ilvl w:val="0"/>
          <w:numId w:val="2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Supplier Responsibility Questionnaire </w:t>
      </w:r>
    </w:p>
    <w:p w14:paraId="1748C25C" w14:textId="5D871004" w:rsidR="00F05AD2" w:rsidRDefault="00F05AD2" w:rsidP="00F05AD2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125E997" w14:textId="0A37378C" w:rsidR="00F05AD2" w:rsidRDefault="00F05AD2" w:rsidP="00F05AD2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documents that must be submitted to bid on Recovery services:</w:t>
      </w:r>
    </w:p>
    <w:p w14:paraId="035ABBB2" w14:textId="06536D16" w:rsidR="00F05AD2" w:rsidRDefault="00F05AD2" w:rsidP="00F05AD2">
      <w:pPr>
        <w:pStyle w:val="ListParagraph"/>
        <w:keepNext/>
        <w:numPr>
          <w:ilvl w:val="0"/>
          <w:numId w:val="29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054F9">
        <w:rPr>
          <w:rFonts w:ascii="Arial" w:hAnsi="Arial" w:cs="Arial"/>
          <w:sz w:val="20"/>
          <w:szCs w:val="20"/>
        </w:rPr>
        <w:t>Attachment I TPL Recovery Services Mandatory Scored Response Worksheet</w:t>
      </w:r>
    </w:p>
    <w:p w14:paraId="498C8762" w14:textId="6EA5F5F0" w:rsidR="006C5773" w:rsidRPr="009054F9" w:rsidRDefault="006C5773" w:rsidP="009054F9">
      <w:pPr>
        <w:numPr>
          <w:ilvl w:val="0"/>
          <w:numId w:val="29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R </w:t>
      </w:r>
      <w:r w:rsidRPr="00773F68">
        <w:rPr>
          <w:rFonts w:ascii="Arial" w:hAnsi="Arial" w:cs="Arial"/>
          <w:sz w:val="20"/>
          <w:szCs w:val="20"/>
        </w:rPr>
        <w:t xml:space="preserve">Supplier Cost Worksheet from Section 5 “Cost Proposal” of this </w:t>
      </w:r>
      <w:proofErr w:type="spellStart"/>
      <w:r w:rsidRPr="00773F68">
        <w:rPr>
          <w:rFonts w:ascii="Arial" w:hAnsi="Arial" w:cs="Arial"/>
          <w:sz w:val="20"/>
          <w:szCs w:val="20"/>
        </w:rPr>
        <w:t>eRFP</w:t>
      </w:r>
      <w:proofErr w:type="spellEnd"/>
      <w:r>
        <w:rPr>
          <w:rFonts w:ascii="Arial" w:hAnsi="Arial" w:cs="Arial"/>
          <w:sz w:val="20"/>
          <w:szCs w:val="20"/>
        </w:rPr>
        <w:t xml:space="preserve"> (Recovery tab)</w:t>
      </w:r>
    </w:p>
    <w:p w14:paraId="526F656E" w14:textId="5662B098" w:rsidR="00F05AD2" w:rsidRDefault="00F05AD2" w:rsidP="00F05AD2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31D9E8C" w14:textId="1AC2082C" w:rsidR="00F05AD2" w:rsidRDefault="00F05AD2" w:rsidP="00F05AD2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documents that must be submitted to bid on Commercial Recoupment services:</w:t>
      </w:r>
    </w:p>
    <w:p w14:paraId="0B4BE778" w14:textId="449A8C05" w:rsidR="00F05AD2" w:rsidRDefault="00F05AD2" w:rsidP="00F05AD2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K </w:t>
      </w:r>
      <w:r w:rsidRPr="00773F68">
        <w:rPr>
          <w:rFonts w:ascii="Arial" w:hAnsi="Arial" w:cs="Arial"/>
          <w:sz w:val="20"/>
          <w:szCs w:val="20"/>
        </w:rPr>
        <w:t xml:space="preserve">TPL Commercial Recoupment Services Mandatory Scored Response Worksheet </w:t>
      </w:r>
    </w:p>
    <w:p w14:paraId="77FA87B6" w14:textId="1BF282A8" w:rsidR="006C5773" w:rsidRPr="009054F9" w:rsidRDefault="006C5773" w:rsidP="009054F9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R </w:t>
      </w:r>
      <w:r w:rsidRPr="00773F68">
        <w:rPr>
          <w:rFonts w:ascii="Arial" w:hAnsi="Arial" w:cs="Arial"/>
          <w:sz w:val="20"/>
          <w:szCs w:val="20"/>
        </w:rPr>
        <w:t xml:space="preserve">Supplier Cost Worksheet from Section 5 “Cost Proposal” of this </w:t>
      </w:r>
      <w:proofErr w:type="spellStart"/>
      <w:r w:rsidRPr="00773F68">
        <w:rPr>
          <w:rFonts w:ascii="Arial" w:hAnsi="Arial" w:cs="Arial"/>
          <w:sz w:val="20"/>
          <w:szCs w:val="20"/>
        </w:rPr>
        <w:t>eRFP</w:t>
      </w:r>
      <w:proofErr w:type="spellEnd"/>
      <w:r>
        <w:rPr>
          <w:rFonts w:ascii="Arial" w:hAnsi="Arial" w:cs="Arial"/>
          <w:sz w:val="20"/>
          <w:szCs w:val="20"/>
        </w:rPr>
        <w:t xml:space="preserve"> (Commercial Recoupment tab)</w:t>
      </w:r>
    </w:p>
    <w:p w14:paraId="20C0460B" w14:textId="77777777" w:rsidR="00F05AD2" w:rsidRDefault="00F05AD2" w:rsidP="00F05AD2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9182DEB" w14:textId="685B120B" w:rsidR="00F05AD2" w:rsidRDefault="00F05AD2" w:rsidP="00F05AD2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documents that must be submitted to bid on Hospital Physician Services:</w:t>
      </w:r>
    </w:p>
    <w:p w14:paraId="31C55504" w14:textId="52F9A581" w:rsidR="00F05AD2" w:rsidRDefault="00F05AD2" w:rsidP="00F05AD2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M </w:t>
      </w:r>
      <w:r w:rsidRPr="00773F68">
        <w:rPr>
          <w:rFonts w:ascii="Arial" w:hAnsi="Arial" w:cs="Arial"/>
          <w:sz w:val="20"/>
          <w:szCs w:val="20"/>
        </w:rPr>
        <w:t>TPL Hospital/Physician Services Mandatory Scored Response Worksheet</w:t>
      </w:r>
    </w:p>
    <w:p w14:paraId="4E4F289E" w14:textId="749A1C5A" w:rsidR="006C5773" w:rsidRPr="009054F9" w:rsidRDefault="006C5773" w:rsidP="009054F9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R </w:t>
      </w:r>
      <w:r w:rsidRPr="00773F68">
        <w:rPr>
          <w:rFonts w:ascii="Arial" w:hAnsi="Arial" w:cs="Arial"/>
          <w:sz w:val="20"/>
          <w:szCs w:val="20"/>
        </w:rPr>
        <w:t xml:space="preserve">Supplier Cost Worksheet from Section 5 “Cost Proposal” of this </w:t>
      </w:r>
      <w:proofErr w:type="spellStart"/>
      <w:r w:rsidRPr="00773F68">
        <w:rPr>
          <w:rFonts w:ascii="Arial" w:hAnsi="Arial" w:cs="Arial"/>
          <w:sz w:val="20"/>
          <w:szCs w:val="20"/>
        </w:rPr>
        <w:t>eRFP</w:t>
      </w:r>
      <w:proofErr w:type="spellEnd"/>
      <w:r>
        <w:rPr>
          <w:rFonts w:ascii="Arial" w:hAnsi="Arial" w:cs="Arial"/>
          <w:sz w:val="20"/>
          <w:szCs w:val="20"/>
        </w:rPr>
        <w:t xml:space="preserve"> (Hospital Physician tab)</w:t>
      </w:r>
    </w:p>
    <w:p w14:paraId="08D01514" w14:textId="77777777" w:rsidR="00F05AD2" w:rsidRDefault="00F05AD2" w:rsidP="00F05AD2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9F137B6" w14:textId="2F054918" w:rsidR="00F05AD2" w:rsidRDefault="00F05AD2" w:rsidP="00F05AD2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documents that must be submitted to bid on CMO Come Behind Services:</w:t>
      </w:r>
    </w:p>
    <w:p w14:paraId="2A43D86D" w14:textId="2A638E31" w:rsidR="00F05AD2" w:rsidRDefault="00F05AD2" w:rsidP="00F05AD2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O </w:t>
      </w:r>
      <w:r w:rsidRPr="00773F68">
        <w:rPr>
          <w:rFonts w:ascii="Arial" w:hAnsi="Arial" w:cs="Arial"/>
          <w:sz w:val="20"/>
          <w:szCs w:val="20"/>
        </w:rPr>
        <w:t>TPL Care Management Organization (CMO) Come Behind Services Mandatory Scored Response Worksheet</w:t>
      </w:r>
    </w:p>
    <w:p w14:paraId="4852C23F" w14:textId="4F70DF72" w:rsidR="006C5773" w:rsidRPr="009054F9" w:rsidRDefault="006C5773" w:rsidP="009054F9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R </w:t>
      </w:r>
      <w:r w:rsidRPr="00773F68">
        <w:rPr>
          <w:rFonts w:ascii="Arial" w:hAnsi="Arial" w:cs="Arial"/>
          <w:sz w:val="20"/>
          <w:szCs w:val="20"/>
        </w:rPr>
        <w:t xml:space="preserve">Supplier Cost Worksheet from Section 5 “Cost Proposal” of this </w:t>
      </w:r>
      <w:proofErr w:type="spellStart"/>
      <w:r w:rsidRPr="00773F68">
        <w:rPr>
          <w:rFonts w:ascii="Arial" w:hAnsi="Arial" w:cs="Arial"/>
          <w:sz w:val="20"/>
          <w:szCs w:val="20"/>
        </w:rPr>
        <w:t>eRFP</w:t>
      </w:r>
      <w:proofErr w:type="spellEnd"/>
      <w:r>
        <w:rPr>
          <w:rFonts w:ascii="Arial" w:hAnsi="Arial" w:cs="Arial"/>
          <w:sz w:val="20"/>
          <w:szCs w:val="20"/>
        </w:rPr>
        <w:t xml:space="preserve"> (CMO Come Behind tab)</w:t>
      </w:r>
    </w:p>
    <w:p w14:paraId="78D1F8D4" w14:textId="77777777" w:rsidR="00F05AD2" w:rsidRDefault="00F05AD2" w:rsidP="00F05AD2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856CFF6" w14:textId="77777777" w:rsidR="006C5773" w:rsidRDefault="00F05AD2" w:rsidP="006C5773">
      <w:p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054F9">
        <w:rPr>
          <w:rFonts w:ascii="Arial" w:hAnsi="Arial" w:cs="Arial"/>
          <w:sz w:val="20"/>
          <w:szCs w:val="20"/>
        </w:rPr>
        <w:t xml:space="preserve">Additional documents that must be submitted to bid on the TPL System Module: </w:t>
      </w:r>
    </w:p>
    <w:p w14:paraId="4DD3EA01" w14:textId="0A646C38" w:rsidR="00F05AD2" w:rsidRDefault="00F05AD2" w:rsidP="006C5773">
      <w:pPr>
        <w:pStyle w:val="ListParagraph"/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054F9">
        <w:rPr>
          <w:rFonts w:ascii="Arial" w:hAnsi="Arial" w:cs="Arial"/>
          <w:sz w:val="20"/>
          <w:szCs w:val="20"/>
        </w:rPr>
        <w:t>Attachment Q TPL System Module Mandatory Scored Response Worksheet</w:t>
      </w:r>
    </w:p>
    <w:p w14:paraId="767AD270" w14:textId="77777777" w:rsidR="006C5773" w:rsidRPr="00773F68" w:rsidRDefault="006C5773" w:rsidP="006C5773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S </w:t>
      </w:r>
      <w:r w:rsidRPr="00773F68">
        <w:rPr>
          <w:rFonts w:ascii="Arial" w:hAnsi="Arial" w:cs="Arial"/>
          <w:sz w:val="20"/>
          <w:szCs w:val="20"/>
        </w:rPr>
        <w:t>TPL System Module Cost Worksheet Tier 1</w:t>
      </w:r>
    </w:p>
    <w:p w14:paraId="60E804F4" w14:textId="77777777" w:rsidR="006C5773" w:rsidRPr="00773F68" w:rsidRDefault="006C5773" w:rsidP="006C5773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T </w:t>
      </w:r>
      <w:r w:rsidRPr="00773F68">
        <w:rPr>
          <w:rFonts w:ascii="Arial" w:hAnsi="Arial" w:cs="Arial"/>
          <w:sz w:val="20"/>
          <w:szCs w:val="20"/>
        </w:rPr>
        <w:t>TPL System Module Cost Worksheet Tier 2</w:t>
      </w:r>
    </w:p>
    <w:p w14:paraId="4012DEA1" w14:textId="77777777" w:rsidR="006C5773" w:rsidRPr="00773F68" w:rsidRDefault="006C5773" w:rsidP="006C5773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U </w:t>
      </w:r>
      <w:r w:rsidRPr="00773F68">
        <w:rPr>
          <w:rFonts w:ascii="Arial" w:hAnsi="Arial" w:cs="Arial"/>
          <w:sz w:val="20"/>
          <w:szCs w:val="20"/>
        </w:rPr>
        <w:t>TPL System Module Cost Worksheet Tier 3</w:t>
      </w:r>
    </w:p>
    <w:p w14:paraId="2EF3A619" w14:textId="77777777" w:rsidR="006C5773" w:rsidRPr="00773F68" w:rsidRDefault="006C5773" w:rsidP="006C5773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V </w:t>
      </w:r>
      <w:r w:rsidRPr="00773F68">
        <w:rPr>
          <w:rFonts w:ascii="Arial" w:hAnsi="Arial" w:cs="Arial"/>
          <w:sz w:val="20"/>
          <w:szCs w:val="20"/>
        </w:rPr>
        <w:t>TPL System Module Cost Worksheet Tier 4</w:t>
      </w:r>
    </w:p>
    <w:p w14:paraId="49986581" w14:textId="6F530474" w:rsidR="006C5773" w:rsidRPr="009054F9" w:rsidRDefault="006C5773" w:rsidP="009054F9">
      <w:pPr>
        <w:numPr>
          <w:ilvl w:val="0"/>
          <w:numId w:val="28"/>
        </w:num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W </w:t>
      </w:r>
      <w:r w:rsidRPr="00773F68">
        <w:rPr>
          <w:rFonts w:ascii="Arial" w:hAnsi="Arial" w:cs="Arial"/>
          <w:sz w:val="20"/>
          <w:szCs w:val="20"/>
        </w:rPr>
        <w:t>TPL System Module Cost Worksheet Tier 5</w:t>
      </w:r>
    </w:p>
    <w:p w14:paraId="3C0E2BA4" w14:textId="55C4FF34" w:rsidR="00F05AD2" w:rsidRPr="009054F9" w:rsidRDefault="00F05AD2" w:rsidP="009054F9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17E446B" w14:textId="2FB3D602" w:rsidR="00F05AD2" w:rsidRPr="009054F9" w:rsidRDefault="00F05AD2" w:rsidP="009054F9">
      <w:pPr>
        <w:keepNext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6497E4E" w14:textId="29C334D8" w:rsidR="00A14CB6" w:rsidRDefault="006C1FCB" w:rsidP="00A14CB6">
      <w:p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documents </w:t>
      </w:r>
      <w:r w:rsidR="00E55CC5">
        <w:rPr>
          <w:rFonts w:ascii="Arial" w:hAnsi="Arial" w:cs="Arial"/>
          <w:sz w:val="20"/>
          <w:szCs w:val="20"/>
        </w:rPr>
        <w:t xml:space="preserve">should be read and carefully considered when composing your response, but should not </w:t>
      </w:r>
      <w:r w:rsidR="00423389">
        <w:rPr>
          <w:rFonts w:ascii="Arial" w:hAnsi="Arial" w:cs="Arial"/>
          <w:sz w:val="20"/>
          <w:szCs w:val="20"/>
        </w:rPr>
        <w:t>be</w:t>
      </w:r>
      <w:r w:rsidR="00E55CC5">
        <w:rPr>
          <w:rFonts w:ascii="Arial" w:hAnsi="Arial" w:cs="Arial"/>
          <w:sz w:val="20"/>
          <w:szCs w:val="20"/>
        </w:rPr>
        <w:t xml:space="preserve"> uploaded with your response</w:t>
      </w:r>
      <w:r>
        <w:rPr>
          <w:rFonts w:ascii="Arial" w:hAnsi="Arial" w:cs="Arial"/>
          <w:sz w:val="20"/>
          <w:szCs w:val="20"/>
        </w:rPr>
        <w:t>:</w:t>
      </w:r>
    </w:p>
    <w:p w14:paraId="64F17DD8" w14:textId="34B57FF6" w:rsidR="006C1FCB" w:rsidRDefault="006C1FCB" w:rsidP="00946CEA">
      <w:pPr>
        <w:pStyle w:val="ListParagraph"/>
        <w:numPr>
          <w:ilvl w:val="0"/>
          <w:numId w:val="31"/>
        </w:numPr>
        <w:adjustRightInd w:val="0"/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6C1FCB">
        <w:rPr>
          <w:rFonts w:ascii="Arial" w:hAnsi="Arial" w:cs="Arial"/>
          <w:sz w:val="20"/>
          <w:szCs w:val="20"/>
        </w:rPr>
        <w:t xml:space="preserve">Attachment A </w:t>
      </w:r>
      <w:r w:rsidRPr="006C1FCB">
        <w:rPr>
          <w:rFonts w:ascii="Arial" w:hAnsi="Arial" w:cs="Arial"/>
          <w:sz w:val="20"/>
          <w:szCs w:val="20"/>
        </w:rPr>
        <w:t xml:space="preserve">Lead State </w:t>
      </w:r>
      <w:proofErr w:type="spellStart"/>
      <w:r w:rsidRPr="006C1FCB">
        <w:rPr>
          <w:rFonts w:ascii="Arial" w:hAnsi="Arial" w:cs="Arial"/>
          <w:sz w:val="20"/>
          <w:szCs w:val="20"/>
        </w:rPr>
        <w:t>eRFP</w:t>
      </w:r>
      <w:proofErr w:type="spellEnd"/>
      <w:r w:rsidRPr="006C1FCB">
        <w:rPr>
          <w:rFonts w:ascii="Arial" w:hAnsi="Arial" w:cs="Arial"/>
          <w:sz w:val="20"/>
          <w:szCs w:val="20"/>
        </w:rPr>
        <w:t xml:space="preserve"> </w:t>
      </w:r>
    </w:p>
    <w:p w14:paraId="09D29A43" w14:textId="4292553D" w:rsidR="006C1FCB" w:rsidRPr="006C1FCB" w:rsidRDefault="006C1FCB" w:rsidP="00946CEA">
      <w:pPr>
        <w:pStyle w:val="ListParagraph"/>
        <w:numPr>
          <w:ilvl w:val="0"/>
          <w:numId w:val="31"/>
        </w:numPr>
        <w:adjustRightInd w:val="0"/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B </w:t>
      </w:r>
      <w:r w:rsidRPr="006C1FCB">
        <w:rPr>
          <w:rFonts w:ascii="Arial" w:hAnsi="Arial" w:cs="Arial"/>
          <w:sz w:val="20"/>
          <w:szCs w:val="20"/>
        </w:rPr>
        <w:t>Definitions and Acronyms</w:t>
      </w:r>
    </w:p>
    <w:p w14:paraId="315CCB58" w14:textId="5476EA05" w:rsidR="006C1FCB" w:rsidRPr="006C1FCB" w:rsidRDefault="006C1FCB" w:rsidP="006C1FCB">
      <w:pPr>
        <w:pStyle w:val="ListParagraph"/>
        <w:numPr>
          <w:ilvl w:val="0"/>
          <w:numId w:val="31"/>
        </w:numPr>
        <w:adjustRightInd w:val="0"/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  <w:bookmarkStart w:id="0" w:name="_Hlk52449066"/>
      <w:r>
        <w:rPr>
          <w:rFonts w:ascii="Arial" w:hAnsi="Arial" w:cs="Arial"/>
          <w:sz w:val="20"/>
          <w:szCs w:val="20"/>
        </w:rPr>
        <w:t xml:space="preserve">Attachment F </w:t>
      </w:r>
      <w:r w:rsidRPr="006C1FCB">
        <w:rPr>
          <w:rFonts w:ascii="Arial" w:hAnsi="Arial" w:cs="Arial"/>
          <w:sz w:val="20"/>
          <w:szCs w:val="20"/>
        </w:rPr>
        <w:t>TPL Base Requirements</w:t>
      </w:r>
    </w:p>
    <w:bookmarkEnd w:id="0"/>
    <w:p w14:paraId="078C7793" w14:textId="1458BB5C" w:rsidR="006C1FCB" w:rsidRPr="006C1FCB" w:rsidRDefault="006C1FCB" w:rsidP="006C1FCB">
      <w:pPr>
        <w:pStyle w:val="ListParagraph"/>
        <w:numPr>
          <w:ilvl w:val="0"/>
          <w:numId w:val="31"/>
        </w:numPr>
        <w:adjustRightInd w:val="0"/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H </w:t>
      </w:r>
      <w:r w:rsidRPr="006C1FCB">
        <w:rPr>
          <w:rFonts w:ascii="Arial" w:hAnsi="Arial" w:cs="Arial"/>
          <w:sz w:val="20"/>
          <w:szCs w:val="20"/>
        </w:rPr>
        <w:t xml:space="preserve">TPL Recovery Services Requirements </w:t>
      </w:r>
    </w:p>
    <w:p w14:paraId="0B7508EB" w14:textId="6EB9AF1A" w:rsidR="006C1FCB" w:rsidRPr="006C1FCB" w:rsidRDefault="006C1FCB" w:rsidP="006C1FCB">
      <w:pPr>
        <w:pStyle w:val="ListParagraph"/>
        <w:numPr>
          <w:ilvl w:val="0"/>
          <w:numId w:val="31"/>
        </w:numPr>
        <w:adjustRightInd w:val="0"/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J </w:t>
      </w:r>
      <w:r w:rsidRPr="006C1FCB">
        <w:rPr>
          <w:rFonts w:ascii="Arial" w:hAnsi="Arial" w:cs="Arial"/>
          <w:sz w:val="20"/>
          <w:szCs w:val="20"/>
        </w:rPr>
        <w:t xml:space="preserve">TPL Commercial Recoupment Services Requirements </w:t>
      </w:r>
    </w:p>
    <w:p w14:paraId="7710F582" w14:textId="4293D2DA" w:rsidR="006C1FCB" w:rsidRPr="006C1FCB" w:rsidRDefault="006C1FCB" w:rsidP="006C1FCB">
      <w:pPr>
        <w:pStyle w:val="ListParagraph"/>
        <w:numPr>
          <w:ilvl w:val="0"/>
          <w:numId w:val="31"/>
        </w:numPr>
        <w:adjustRightInd w:val="0"/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L </w:t>
      </w:r>
      <w:r w:rsidRPr="006C1FCB">
        <w:rPr>
          <w:rFonts w:ascii="Arial" w:hAnsi="Arial" w:cs="Arial"/>
          <w:sz w:val="20"/>
          <w:szCs w:val="20"/>
        </w:rPr>
        <w:t xml:space="preserve">TPL Hospital/Physician Services Requirements </w:t>
      </w:r>
    </w:p>
    <w:p w14:paraId="138B833A" w14:textId="59D0C730" w:rsidR="006C1FCB" w:rsidRPr="006C1FCB" w:rsidRDefault="006C1FCB" w:rsidP="006C1FCB">
      <w:pPr>
        <w:pStyle w:val="ListParagraph"/>
        <w:numPr>
          <w:ilvl w:val="0"/>
          <w:numId w:val="31"/>
        </w:numPr>
        <w:adjustRightInd w:val="0"/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N </w:t>
      </w:r>
      <w:r w:rsidRPr="006C1FCB">
        <w:rPr>
          <w:rFonts w:ascii="Arial" w:hAnsi="Arial" w:cs="Arial"/>
          <w:sz w:val="20"/>
          <w:szCs w:val="20"/>
        </w:rPr>
        <w:t>TPL Care Management Organization (CMO) Come Behind Services Requirements</w:t>
      </w:r>
    </w:p>
    <w:p w14:paraId="351C8EBB" w14:textId="0D9474C5" w:rsidR="006C1FCB" w:rsidRPr="006C1FCB" w:rsidRDefault="006C1FCB" w:rsidP="006C1FCB">
      <w:pPr>
        <w:pStyle w:val="ListParagraph"/>
        <w:numPr>
          <w:ilvl w:val="0"/>
          <w:numId w:val="31"/>
        </w:numPr>
        <w:adjustRightInd w:val="0"/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P </w:t>
      </w:r>
      <w:r w:rsidRPr="006C1FCB">
        <w:rPr>
          <w:rFonts w:ascii="Arial" w:hAnsi="Arial" w:cs="Arial"/>
          <w:sz w:val="20"/>
          <w:szCs w:val="20"/>
        </w:rPr>
        <w:t>TPL Syst</w:t>
      </w:r>
      <w:r w:rsidRPr="006C1FCB">
        <w:rPr>
          <w:rFonts w:ascii="Arial" w:hAnsi="Arial" w:cs="Arial"/>
          <w:sz w:val="20"/>
          <w:szCs w:val="20"/>
        </w:rPr>
        <w:t>e</w:t>
      </w:r>
      <w:r w:rsidRPr="006C1FCB">
        <w:rPr>
          <w:rFonts w:ascii="Arial" w:hAnsi="Arial" w:cs="Arial"/>
          <w:sz w:val="20"/>
          <w:szCs w:val="20"/>
        </w:rPr>
        <w:t>m Module Requirements</w:t>
      </w:r>
    </w:p>
    <w:p w14:paraId="1D25AB62" w14:textId="64345DB8" w:rsidR="006C1FCB" w:rsidRPr="006C1FCB" w:rsidRDefault="006C1FCB" w:rsidP="006C1FCB">
      <w:pPr>
        <w:pStyle w:val="ListParagraph"/>
        <w:numPr>
          <w:ilvl w:val="0"/>
          <w:numId w:val="31"/>
        </w:numPr>
        <w:adjustRightInd w:val="0"/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Attachment X </w:t>
      </w:r>
      <w:r w:rsidRPr="006C1FCB">
        <w:rPr>
          <w:rFonts w:ascii="Arial" w:hAnsi="Arial" w:cs="Arial"/>
          <w:sz w:val="20"/>
          <w:szCs w:val="20"/>
        </w:rPr>
        <w:t>Medicaid Enterprise System Transformation Third-Party Liability (TPL) Security Standards and Requirements</w:t>
      </w:r>
    </w:p>
    <w:p w14:paraId="4E840BEF" w14:textId="02DCD1E4" w:rsidR="006C1FCB" w:rsidRPr="006C1FCB" w:rsidRDefault="006C1FCB" w:rsidP="0025356A">
      <w:pPr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6C1FCB" w:rsidRPr="006C1FCB" w:rsidSect="00B347A7">
      <w:pgSz w:w="12240" w:h="15840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E3B6F"/>
    <w:multiLevelType w:val="hybridMultilevel"/>
    <w:tmpl w:val="9FEA683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3316CD1"/>
    <w:multiLevelType w:val="multilevel"/>
    <w:tmpl w:val="167CF83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isLgl/>
      <w:lvlText w:val="%1.%2."/>
      <w:lvlJc w:val="left"/>
      <w:pPr>
        <w:ind w:left="23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color w:val="000099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color w:val="000099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000099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  <w:color w:val="000099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  <w:color w:val="000099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  <w:color w:val="000099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  <w:color w:val="000099"/>
      </w:rPr>
    </w:lvl>
  </w:abstractNum>
  <w:abstractNum w:abstractNumId="2" w15:restartNumberingAfterBreak="0">
    <w:nsid w:val="1DC54442"/>
    <w:multiLevelType w:val="hybridMultilevel"/>
    <w:tmpl w:val="B1B615C4"/>
    <w:lvl w:ilvl="0" w:tplc="04090019">
      <w:start w:val="1"/>
      <w:numFmt w:val="lowerLetter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3DA22B7"/>
    <w:multiLevelType w:val="hybridMultilevel"/>
    <w:tmpl w:val="E6724616"/>
    <w:lvl w:ilvl="0" w:tplc="91168A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F31C95"/>
    <w:multiLevelType w:val="hybridMultilevel"/>
    <w:tmpl w:val="80D25738"/>
    <w:lvl w:ilvl="0" w:tplc="04090019">
      <w:start w:val="1"/>
      <w:numFmt w:val="lowerLetter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2836487F"/>
    <w:multiLevelType w:val="hybridMultilevel"/>
    <w:tmpl w:val="C846B7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D8483E"/>
    <w:multiLevelType w:val="hybridMultilevel"/>
    <w:tmpl w:val="70085E8C"/>
    <w:lvl w:ilvl="0" w:tplc="7BFE4ABC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4AB429B"/>
    <w:multiLevelType w:val="hybridMultilevel"/>
    <w:tmpl w:val="10AE565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5942DE1"/>
    <w:multiLevelType w:val="hybridMultilevel"/>
    <w:tmpl w:val="AC8E3804"/>
    <w:lvl w:ilvl="0" w:tplc="518AA0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619B"/>
    <w:multiLevelType w:val="hybridMultilevel"/>
    <w:tmpl w:val="27A8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774C"/>
    <w:multiLevelType w:val="hybridMultilevel"/>
    <w:tmpl w:val="DC52D0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87B66"/>
    <w:multiLevelType w:val="hybridMultilevel"/>
    <w:tmpl w:val="7B92FFC2"/>
    <w:lvl w:ilvl="0" w:tplc="518AA0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5762"/>
    <w:multiLevelType w:val="hybridMultilevel"/>
    <w:tmpl w:val="3C8E7E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E16B09"/>
    <w:multiLevelType w:val="hybridMultilevel"/>
    <w:tmpl w:val="6C7A1E44"/>
    <w:lvl w:ilvl="0" w:tplc="040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 w15:restartNumberingAfterBreak="0">
    <w:nsid w:val="4A293ABE"/>
    <w:multiLevelType w:val="hybridMultilevel"/>
    <w:tmpl w:val="CCA6A900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4CAC18C9"/>
    <w:multiLevelType w:val="hybridMultilevel"/>
    <w:tmpl w:val="ED1E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D5D6A"/>
    <w:multiLevelType w:val="hybridMultilevel"/>
    <w:tmpl w:val="2C1442D0"/>
    <w:lvl w:ilvl="0" w:tplc="04090019">
      <w:start w:val="1"/>
      <w:numFmt w:val="lowerLetter"/>
      <w:lvlText w:val="%1."/>
      <w:lvlJc w:val="left"/>
      <w:pPr>
        <w:ind w:left="2700" w:hanging="360"/>
      </w:pPr>
      <w:rPr>
        <w:rFonts w:hint="default"/>
        <w:u w:val="none"/>
      </w:rPr>
    </w:lvl>
    <w:lvl w:ilvl="1" w:tplc="0409000F">
      <w:start w:val="1"/>
      <w:numFmt w:val="decimal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3C748D10">
      <w:start w:val="1"/>
      <w:numFmt w:val="lowerRoman"/>
      <w:lvlText w:val="%4."/>
      <w:lvlJc w:val="left"/>
      <w:pPr>
        <w:ind w:left="486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55FA1CD2"/>
    <w:multiLevelType w:val="hybridMultilevel"/>
    <w:tmpl w:val="B816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E5DC7"/>
    <w:multiLevelType w:val="multilevel"/>
    <w:tmpl w:val="40FE9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000"/>
      <w:numFmt w:val="decimal"/>
      <w:lvlText w:val="%5"/>
      <w:lvlJc w:val="left"/>
      <w:pPr>
        <w:ind w:left="3680" w:hanging="44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92423B"/>
    <w:multiLevelType w:val="hybridMultilevel"/>
    <w:tmpl w:val="1D56CA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A6C8D8EE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20068C"/>
    <w:multiLevelType w:val="multilevel"/>
    <w:tmpl w:val="A9F00E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8F24BF"/>
    <w:multiLevelType w:val="multilevel"/>
    <w:tmpl w:val="BC64F62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2" w15:restartNumberingAfterBreak="0">
    <w:nsid w:val="6D03500D"/>
    <w:multiLevelType w:val="hybridMultilevel"/>
    <w:tmpl w:val="9A3EDC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1F5D7B"/>
    <w:multiLevelType w:val="hybridMultilevel"/>
    <w:tmpl w:val="047456F4"/>
    <w:lvl w:ilvl="0" w:tplc="B49E87B0">
      <w:start w:val="1"/>
      <w:numFmt w:val="lowerLetter"/>
      <w:lvlText w:val="%1."/>
      <w:lvlJc w:val="left"/>
      <w:pPr>
        <w:ind w:left="15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6E562AA5"/>
    <w:multiLevelType w:val="hybridMultilevel"/>
    <w:tmpl w:val="34CE4DDA"/>
    <w:lvl w:ilvl="0" w:tplc="3C064286">
      <w:start w:val="1"/>
      <w:numFmt w:val="low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772"/>
        </w:tabs>
        <w:ind w:left="27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73C6380D"/>
    <w:multiLevelType w:val="hybridMultilevel"/>
    <w:tmpl w:val="71180910"/>
    <w:lvl w:ilvl="0" w:tplc="F02C86B0">
      <w:start w:val="1"/>
      <w:numFmt w:val="decimal"/>
      <w:lvlText w:val="%1."/>
      <w:lvlJc w:val="left"/>
      <w:pPr>
        <w:ind w:left="15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6" w15:restartNumberingAfterBreak="0">
    <w:nsid w:val="74FA7B10"/>
    <w:multiLevelType w:val="multilevel"/>
    <w:tmpl w:val="71B6C3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5C84A54"/>
    <w:multiLevelType w:val="multilevel"/>
    <w:tmpl w:val="2916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D927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B45E16"/>
    <w:multiLevelType w:val="hybridMultilevel"/>
    <w:tmpl w:val="1B1422BA"/>
    <w:lvl w:ilvl="0" w:tplc="0096CD94">
      <w:start w:val="20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DC7166F"/>
    <w:multiLevelType w:val="hybridMultilevel"/>
    <w:tmpl w:val="7B9EE47A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5"/>
  </w:num>
  <w:num w:numId="5">
    <w:abstractNumId w:val="21"/>
  </w:num>
  <w:num w:numId="6">
    <w:abstractNumId w:val="10"/>
  </w:num>
  <w:num w:numId="7">
    <w:abstractNumId w:val="12"/>
  </w:num>
  <w:num w:numId="8">
    <w:abstractNumId w:val="14"/>
  </w:num>
  <w:num w:numId="9">
    <w:abstractNumId w:val="6"/>
  </w:num>
  <w:num w:numId="10">
    <w:abstractNumId w:val="20"/>
  </w:num>
  <w:num w:numId="11">
    <w:abstractNumId w:val="29"/>
  </w:num>
  <w:num w:numId="12">
    <w:abstractNumId w:val="19"/>
  </w:num>
  <w:num w:numId="13">
    <w:abstractNumId w:val="16"/>
  </w:num>
  <w:num w:numId="14">
    <w:abstractNumId w:val="13"/>
  </w:num>
  <w:num w:numId="15">
    <w:abstractNumId w:val="1"/>
  </w:num>
  <w:num w:numId="16">
    <w:abstractNumId w:val="18"/>
  </w:num>
  <w:num w:numId="17">
    <w:abstractNumId w:val="26"/>
  </w:num>
  <w:num w:numId="18">
    <w:abstractNumId w:val="24"/>
  </w:num>
  <w:num w:numId="19">
    <w:abstractNumId w:val="30"/>
  </w:num>
  <w:num w:numId="20">
    <w:abstractNumId w:val="25"/>
  </w:num>
  <w:num w:numId="21">
    <w:abstractNumId w:val="4"/>
  </w:num>
  <w:num w:numId="22">
    <w:abstractNumId w:val="27"/>
  </w:num>
  <w:num w:numId="23">
    <w:abstractNumId w:val="3"/>
  </w:num>
  <w:num w:numId="24">
    <w:abstractNumId w:val="23"/>
  </w:num>
  <w:num w:numId="25">
    <w:abstractNumId w:val="2"/>
  </w:num>
  <w:num w:numId="26">
    <w:abstractNumId w:val="0"/>
  </w:num>
  <w:num w:numId="27">
    <w:abstractNumId w:val="7"/>
  </w:num>
  <w:num w:numId="28">
    <w:abstractNumId w:val="11"/>
  </w:num>
  <w:num w:numId="29">
    <w:abstractNumId w:val="8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C1"/>
    <w:rsid w:val="00040DCB"/>
    <w:rsid w:val="000630FC"/>
    <w:rsid w:val="0006580C"/>
    <w:rsid w:val="000C3740"/>
    <w:rsid w:val="001F7AED"/>
    <w:rsid w:val="00201E0D"/>
    <w:rsid w:val="00207CFB"/>
    <w:rsid w:val="00251045"/>
    <w:rsid w:val="0025356A"/>
    <w:rsid w:val="002777B6"/>
    <w:rsid w:val="002C7D82"/>
    <w:rsid w:val="003343E9"/>
    <w:rsid w:val="00341AC1"/>
    <w:rsid w:val="00394747"/>
    <w:rsid w:val="00407934"/>
    <w:rsid w:val="00423389"/>
    <w:rsid w:val="004625EE"/>
    <w:rsid w:val="004C6817"/>
    <w:rsid w:val="004D4555"/>
    <w:rsid w:val="004D69A0"/>
    <w:rsid w:val="004E36C9"/>
    <w:rsid w:val="0050581C"/>
    <w:rsid w:val="0056357B"/>
    <w:rsid w:val="00574EBA"/>
    <w:rsid w:val="005A2CBA"/>
    <w:rsid w:val="005E22F2"/>
    <w:rsid w:val="005F6A7A"/>
    <w:rsid w:val="006C1FCB"/>
    <w:rsid w:val="006C5773"/>
    <w:rsid w:val="006C6209"/>
    <w:rsid w:val="007624A6"/>
    <w:rsid w:val="007C3E2C"/>
    <w:rsid w:val="00804D7F"/>
    <w:rsid w:val="008463C2"/>
    <w:rsid w:val="008B58DE"/>
    <w:rsid w:val="008F7DB9"/>
    <w:rsid w:val="009054F9"/>
    <w:rsid w:val="009D2C6F"/>
    <w:rsid w:val="009D48A5"/>
    <w:rsid w:val="009E6641"/>
    <w:rsid w:val="00A14CB6"/>
    <w:rsid w:val="00A70248"/>
    <w:rsid w:val="00AA546D"/>
    <w:rsid w:val="00B347A7"/>
    <w:rsid w:val="00BA5091"/>
    <w:rsid w:val="00C90EF2"/>
    <w:rsid w:val="00D2659E"/>
    <w:rsid w:val="00D546DF"/>
    <w:rsid w:val="00DA37C5"/>
    <w:rsid w:val="00DB0FC2"/>
    <w:rsid w:val="00DB3955"/>
    <w:rsid w:val="00E3261D"/>
    <w:rsid w:val="00E55CC5"/>
    <w:rsid w:val="00F0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1E06"/>
  <w15:chartTrackingRefBased/>
  <w15:docId w15:val="{B58393EB-3917-435C-97A9-199152DC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1"/>
    <w:pPr>
      <w:ind w:left="720"/>
      <w:contextualSpacing/>
    </w:pPr>
  </w:style>
  <w:style w:type="character" w:styleId="Hyperlink">
    <w:name w:val="Hyperlink"/>
    <w:rsid w:val="00341AC1"/>
    <w:rPr>
      <w:color w:val="000099"/>
      <w:u w:val="single"/>
      <w:shd w:val="clear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E3261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rsid w:val="00E32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261D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2pt">
    <w:name w:val="style12pt"/>
    <w:basedOn w:val="DefaultParagraphFont"/>
    <w:rsid w:val="00E3261D"/>
  </w:style>
  <w:style w:type="character" w:styleId="Emphasis">
    <w:name w:val="Emphasis"/>
    <w:qFormat/>
    <w:rsid w:val="00E3261D"/>
    <w:rPr>
      <w:i/>
      <w:iCs/>
    </w:rPr>
  </w:style>
  <w:style w:type="paragraph" w:customStyle="1" w:styleId="styleb2nounderlineleft0firstline0">
    <w:name w:val="styleb2nounderlineleft0firstline0"/>
    <w:basedOn w:val="Normal"/>
    <w:rsid w:val="00251045"/>
    <w:pPr>
      <w:spacing w:before="100" w:beforeAutospacing="1" w:after="100" w:afterAutospacing="1"/>
    </w:pPr>
  </w:style>
  <w:style w:type="character" w:styleId="Strong">
    <w:name w:val="Strong"/>
    <w:qFormat/>
    <w:rsid w:val="00251045"/>
    <w:rPr>
      <w:b/>
      <w:bCs/>
    </w:rPr>
  </w:style>
  <w:style w:type="paragraph" w:styleId="NormalWeb">
    <w:name w:val="Normal (Web)"/>
    <w:basedOn w:val="Normal"/>
    <w:uiPriority w:val="99"/>
    <w:rsid w:val="00574EBA"/>
    <w:pPr>
      <w:spacing w:before="100" w:beforeAutospacing="1" w:after="100" w:afterAutospacing="1"/>
    </w:pPr>
  </w:style>
  <w:style w:type="paragraph" w:customStyle="1" w:styleId="paragraphtext">
    <w:name w:val="paragraphtext"/>
    <w:basedOn w:val="Normal"/>
    <w:rsid w:val="00574EBA"/>
    <w:pPr>
      <w:spacing w:before="100" w:beforeAutospacing="1" w:after="100" w:afterAutospacing="1"/>
    </w:pPr>
  </w:style>
  <w:style w:type="character" w:customStyle="1" w:styleId="style12pt1">
    <w:name w:val="style12pt1"/>
    <w:basedOn w:val="DefaultParagraphFont"/>
    <w:rsid w:val="00574EBA"/>
  </w:style>
  <w:style w:type="character" w:customStyle="1" w:styleId="pshyperlink">
    <w:name w:val="pshyperlink"/>
    <w:basedOn w:val="DefaultParagraphFont"/>
    <w:rsid w:val="00574EBA"/>
  </w:style>
  <w:style w:type="character" w:styleId="CommentReference">
    <w:name w:val="annotation reference"/>
    <w:basedOn w:val="DefaultParagraphFont"/>
    <w:uiPriority w:val="99"/>
    <w:semiHidden/>
    <w:unhideWhenUsed/>
    <w:rsid w:val="00A14C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C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B6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E36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l.doas.state.ga.us/gpr/eventDetails?eSourceNumber=41900-DCH0000120&amp;sourceSystemType=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Catherine Cushing</dc:creator>
  <cp:keywords/>
  <dc:description/>
  <cp:lastModifiedBy>Virginia Catherine Cushing</cp:lastModifiedBy>
  <cp:revision>4</cp:revision>
  <dcterms:created xsi:type="dcterms:W3CDTF">2020-10-15T13:45:00Z</dcterms:created>
  <dcterms:modified xsi:type="dcterms:W3CDTF">2020-10-15T13:49:00Z</dcterms:modified>
</cp:coreProperties>
</file>